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ivfhnt10q033126.htm"/>
      <w:bookmarkStart w:id="1" w:name="ksivfhnt10q033126"/>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12b-25</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One): ☐ Form 10-K ☐ Form 20-F ☐ Form 11-K ☒ Form 10-Q ☐ Form 10-D ☐ Form N-CEN ☐ Form N-CSR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Period Ended: March 31, 2026</w:t>
      </w:r>
    </w:p>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230"/>
        <w:gridCol w:w="264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283"/>
              <w:jc w:val="left"/>
              <w:rPr>
                <w:sz w:val="20"/>
              </w:rPr>
            </w:pPr>
            <w:r>
              <w:rPr>
                <w:sz w:val="20"/>
              </w:rPr>
              <w:t>Transition Report on Form 10-K</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75"/>
        <w:gridCol w:w="230"/>
        <w:gridCol w:w="308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080" w:type="dxa"/>
            <w:tcBorders/>
            <w:vAlign w:val="center"/>
          </w:tcPr>
          <w:p>
            <w:pPr>
              <w:pStyle w:val="TableContents"/>
              <w:bidi w:val="0"/>
              <w:spacing w:before="0" w:after="283"/>
              <w:jc w:val="left"/>
              <w:rPr/>
            </w:pPr>
            <w:r>
              <w:rPr/>
              <w:t>Transition Report on Form 20-F</w:t>
            </w:r>
          </w:p>
        </w:tc>
      </w:tr>
    </w:tbl>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230"/>
        <w:gridCol w:w="31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pPr>
            <w:r>
              <w:rPr/>
              <w:t>Transition Report on Form 11-K</w:t>
            </w:r>
          </w:p>
        </w:tc>
      </w:tr>
    </w:tbl>
    <w:p>
      <w:pPr>
        <w:pStyle w:val="TextBody"/>
        <w:bidi w:val="0"/>
        <w:spacing w:before="0" w:after="0"/>
        <w:ind w:left="0" w:right="0" w:hanging="0"/>
        <w:jc w:val="left"/>
        <w:rPr>
          <w:caps w:val="false"/>
          <w:smallCaps w:val="false"/>
        </w:rPr>
      </w:pPr>
      <w:r>
        <w:rPr>
          <w:caps w:val="false"/>
          <w:smallCaps w:val="false"/>
        </w:rPr>
        <w:t> </w:t>
      </w:r>
    </w:p>
    <w:tbl>
      <w:tblPr>
        <w:tblW w:w="3430" w:type="dxa"/>
        <w:jc w:val="left"/>
        <w:tblInd w:w="0" w:type="dxa"/>
        <w:tblLayout w:type="fixed"/>
        <w:tblCellMar>
          <w:top w:w="0" w:type="dxa"/>
          <w:left w:w="0" w:type="dxa"/>
          <w:bottom w:w="0" w:type="dxa"/>
          <w:right w:w="0" w:type="dxa"/>
        </w:tblCellMar>
      </w:tblPr>
      <w:tblGrid>
        <w:gridCol w:w="75"/>
        <w:gridCol w:w="230"/>
        <w:gridCol w:w="31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left"/>
              <w:rPr/>
            </w:pPr>
            <w:r>
              <w:rPr/>
              <w:t>Transition Report on Form 10-Q</w:t>
            </w:r>
          </w:p>
        </w:tc>
      </w:tr>
    </w:tbl>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75"/>
        <w:gridCol w:w="230"/>
        <w:gridCol w:w="33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left"/>
              <w:rPr/>
            </w:pPr>
            <w:r>
              <w:rPr/>
              <w:t>Transition Report on Form N-SAR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Nothing in this form shall be construed to imply that the Commission has verified any information contained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Innovative Food Holdings,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2528 S 27th Ave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of Principal Executive Office </w:t>
      </w:r>
      <w:r>
        <w:rPr>
          <w:rFonts w:ascii="Times New Roman;Times;Serif" w:hAnsi="Times New Roman;Times;Serif"/>
          <w:b w:val="false"/>
          <w:i/>
          <w:caps w:val="false"/>
          <w:smallCaps w:val="false"/>
          <w:sz w:val="20"/>
        </w:rPr>
        <w:t>(Street and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Broadview, IL 60155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245"/>
        <w:gridCol w:w="230"/>
        <w:gridCol w:w="9730"/>
      </w:tblGrid>
      <w:tr>
        <w:trPr/>
        <w:tc>
          <w:tcPr>
            <w:tcW w:w="245" w:type="dxa"/>
            <w:tcBorders>
              <w:right w:val="single" w:sz="8" w:space="0" w:color="000000"/>
            </w:tcBorders>
            <w:vAlign w:val="center"/>
          </w:tcPr>
          <w:p>
            <w:pPr>
              <w:pStyle w:val="TableContents"/>
              <w:bidi w:val="0"/>
              <w:spacing w:before="0" w:after="283"/>
              <w:jc w:val="left"/>
              <w:rPr/>
            </w:pPr>
            <w:r>
              <w:rPr/>
              <w:t> </w:t>
            </w:r>
          </w:p>
        </w:tc>
        <w:tc>
          <w:tcPr>
            <w:tcW w:w="230" w:type="dxa"/>
            <w:tcBorders/>
            <w:tcMar>
              <w:right w:w="0" w:type="dxa"/>
            </w:tcMar>
            <w:vAlign w:val="center"/>
          </w:tcPr>
          <w:p>
            <w:pPr>
              <w:pStyle w:val="TableContents"/>
              <w:bidi w:val="0"/>
              <w:spacing w:before="0" w:after="283"/>
              <w:jc w:val="left"/>
              <w:rPr/>
            </w:pPr>
            <w:r>
              <w:rPr/>
              <w:t>(a)</w:t>
            </w:r>
          </w:p>
        </w:tc>
        <w:tc>
          <w:tcPr>
            <w:tcW w:w="9730" w:type="dxa"/>
            <w:tcBorders/>
            <w:tcMar>
              <w:right w:w="0" w:type="dxa"/>
            </w:tcMar>
            <w:vAlign w:val="center"/>
          </w:tcPr>
          <w:p>
            <w:pPr>
              <w:pStyle w:val="TableContents"/>
              <w:bidi w:val="0"/>
              <w:spacing w:before="0" w:after="283"/>
              <w:jc w:val="both"/>
              <w:rPr/>
            </w:pPr>
            <w:r>
              <w:rPr/>
              <w:t>The reason described in reasonable detail in Part III of this form could not be eliminated without unreasonable effort or expense;</w:t>
            </w:r>
          </w:p>
        </w:tc>
      </w:tr>
      <w:tr>
        <w:trPr/>
        <w:tc>
          <w:tcPr>
            <w:tcW w:w="245" w:type="dxa"/>
            <w:tcBorders>
              <w:right w:val="single" w:sz="8" w:space="0" w:color="000000"/>
            </w:tcBorders>
            <w:vAlign w:val="center"/>
          </w:tcPr>
          <w:p>
            <w:pPr>
              <w:pStyle w:val="TableContents"/>
              <w:bidi w:val="0"/>
              <w:jc w:val="center"/>
              <w:rPr/>
            </w:pPr>
            <w:r>
              <w:rPr/>
              <w:t> </w:t>
            </w:r>
          </w:p>
          <w:p>
            <w:pPr>
              <w:pStyle w:val="TableContents"/>
              <w:bidi w:val="0"/>
              <w:spacing w:before="0" w:after="283"/>
              <w:jc w:val="center"/>
              <w:rPr/>
            </w:pPr>
            <w:r>
              <w:rPr/>
              <w:t>☒</w:t>
            </w:r>
          </w:p>
        </w:tc>
        <w:tc>
          <w:tcPr>
            <w:tcW w:w="230" w:type="dxa"/>
            <w:tcBorders/>
            <w:tcMar>
              <w:right w:w="0" w:type="dxa"/>
            </w:tcMar>
            <w:vAlign w:val="center"/>
          </w:tcPr>
          <w:p>
            <w:pPr>
              <w:pStyle w:val="TableContents"/>
              <w:bidi w:val="0"/>
              <w:spacing w:before="0" w:after="283"/>
              <w:jc w:val="left"/>
              <w:rPr/>
            </w:pPr>
            <w:r>
              <w:rPr/>
              <w:t>(b)</w:t>
            </w:r>
          </w:p>
        </w:tc>
        <w:tc>
          <w:tcPr>
            <w:tcW w:w="9730" w:type="dxa"/>
            <w:tcBorders/>
            <w:tcMar>
              <w:right w:w="0" w:type="dxa"/>
            </w:tcMar>
            <w:vAlign w:val="center"/>
          </w:tcPr>
          <w:p>
            <w:pPr>
              <w:pStyle w:val="TableContents"/>
              <w:bidi w:val="0"/>
              <w:spacing w:before="0" w:after="283"/>
              <w:jc w:val="both"/>
              <w:rPr/>
            </w:pPr>
            <w:r>
              <w:rPr/>
              <w:t>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245" w:type="dxa"/>
            <w:tcBorders>
              <w:right w:val="single" w:sz="8" w:space="0" w:color="000000"/>
            </w:tcBorders>
            <w:vAlign w:val="center"/>
          </w:tcPr>
          <w:p>
            <w:pPr>
              <w:pStyle w:val="TableContents"/>
              <w:bidi w:val="0"/>
              <w:spacing w:before="0" w:after="283"/>
              <w:jc w:val="left"/>
              <w:rPr/>
            </w:pPr>
            <w:r>
              <w:rPr/>
              <w:t> </w:t>
            </w:r>
          </w:p>
        </w:tc>
        <w:tc>
          <w:tcPr>
            <w:tcW w:w="230" w:type="dxa"/>
            <w:tcBorders/>
            <w:tcMar>
              <w:right w:w="0" w:type="dxa"/>
            </w:tcMar>
            <w:vAlign w:val="center"/>
          </w:tcPr>
          <w:p>
            <w:pPr>
              <w:pStyle w:val="TableContents"/>
              <w:bidi w:val="0"/>
              <w:spacing w:before="0" w:after="283"/>
              <w:jc w:val="left"/>
              <w:rPr/>
            </w:pPr>
            <w:r>
              <w:rPr/>
              <w:t>(c)</w:t>
            </w:r>
          </w:p>
        </w:tc>
        <w:tc>
          <w:tcPr>
            <w:tcW w:w="9730" w:type="dxa"/>
            <w:tcBorders/>
            <w:tcMar>
              <w:right w:w="0" w:type="dxa"/>
            </w:tcMar>
            <w:vAlign w:val="center"/>
          </w:tcPr>
          <w:p>
            <w:pPr>
              <w:pStyle w:val="TableContents"/>
              <w:bidi w:val="0"/>
              <w:spacing w:before="0" w:after="283"/>
              <w:jc w:val="both"/>
              <w:rPr/>
            </w:pPr>
            <w:r>
              <w:rPr/>
              <w:t>The accountant’s statement or other exhibit required by Rule 12b-25(c) has been attached if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 NARRATIVE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N-SAR, N-CSR, or the transition report or portion thereof, could not be filed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Innovative Food Holdings, Inc. (the “Company”) is unable to file its Quarterly Report on Form 10-Q for the three months ended March 31, 2026 (the “Q1 Form 10-Q”) within the prescribed time period, without unreasonable effort and expense. The Company’s delay is due principally to the need for additional time to finalize the Company’s financial statements and complete the review process. The Company expects to file the Q1 Form 10-Q within the five-calendar-day extension permitted under Rule 12b-25(b)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Name and telephone number of person to contact in regard to this notification</w:t>
      </w:r>
    </w:p>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28" w:type="dxa"/>
          <w:right w:w="0" w:type="dxa"/>
        </w:tblCellMar>
      </w:tblPr>
      <w:tblGrid>
        <w:gridCol w:w="1415"/>
        <w:gridCol w:w="60"/>
        <w:gridCol w:w="1205"/>
        <w:gridCol w:w="60"/>
        <w:gridCol w:w="2030"/>
      </w:tblGrid>
      <w:tr>
        <w:trPr/>
        <w:tc>
          <w:tcPr>
            <w:tcW w:w="1415" w:type="dxa"/>
            <w:tcBorders>
              <w:bottom w:val="single" w:sz="8" w:space="0" w:color="000000"/>
            </w:tcBorders>
            <w:vAlign w:val="center"/>
          </w:tcPr>
          <w:p>
            <w:pPr>
              <w:pStyle w:val="TableContents"/>
              <w:bidi w:val="0"/>
              <w:spacing w:before="0" w:after="283"/>
              <w:jc w:val="center"/>
              <w:rPr/>
            </w:pPr>
            <w:r>
              <w:rPr/>
              <w:t>Gary Schubert</w:t>
            </w:r>
          </w:p>
        </w:tc>
        <w:tc>
          <w:tcPr>
            <w:tcW w:w="60" w:type="dxa"/>
            <w:tcBorders/>
            <w:tcMar>
              <w:bottom w:w="0" w:type="dxa"/>
            </w:tcMar>
            <w:vAlign w:val="center"/>
          </w:tcPr>
          <w:p>
            <w:pPr>
              <w:pStyle w:val="TableContents"/>
              <w:bidi w:val="0"/>
              <w:spacing w:before="0" w:after="283"/>
              <w:jc w:val="center"/>
              <w:rPr/>
            </w:pPr>
            <w:r>
              <w:rPr/>
              <w:t> </w:t>
            </w:r>
          </w:p>
        </w:tc>
        <w:tc>
          <w:tcPr>
            <w:tcW w:w="1205" w:type="dxa"/>
            <w:tcBorders>
              <w:bottom w:val="single" w:sz="8" w:space="0" w:color="000000"/>
            </w:tcBorders>
            <w:vAlign w:val="center"/>
          </w:tcPr>
          <w:p>
            <w:pPr>
              <w:pStyle w:val="TableContents"/>
              <w:bidi w:val="0"/>
              <w:spacing w:before="0" w:after="283"/>
              <w:jc w:val="center"/>
              <w:rPr/>
            </w:pPr>
            <w:r>
              <w:rPr/>
              <w:t>(239)</w:t>
            </w:r>
          </w:p>
        </w:tc>
        <w:tc>
          <w:tcPr>
            <w:tcW w:w="60" w:type="dxa"/>
            <w:tcBorders/>
            <w:tcMar>
              <w:bottom w:w="0" w:type="dxa"/>
            </w:tcMar>
            <w:vAlign w:val="center"/>
          </w:tcPr>
          <w:p>
            <w:pPr>
              <w:pStyle w:val="TableContents"/>
              <w:bidi w:val="0"/>
              <w:spacing w:before="0" w:after="283"/>
              <w:jc w:val="center"/>
              <w:rPr/>
            </w:pPr>
            <w:r>
              <w:rPr/>
              <w:t> </w:t>
            </w:r>
          </w:p>
        </w:tc>
        <w:tc>
          <w:tcPr>
            <w:tcW w:w="2030" w:type="dxa"/>
            <w:tcBorders>
              <w:bottom w:val="single" w:sz="8" w:space="0" w:color="000000"/>
            </w:tcBorders>
            <w:vAlign w:val="center"/>
          </w:tcPr>
          <w:p>
            <w:pPr>
              <w:pStyle w:val="TableContents"/>
              <w:bidi w:val="0"/>
              <w:spacing w:before="0" w:after="283"/>
              <w:jc w:val="center"/>
              <w:rPr/>
            </w:pPr>
            <w:r>
              <w:rPr/>
              <w:t>596-0204</w:t>
            </w:r>
          </w:p>
        </w:tc>
      </w:tr>
      <w:tr>
        <w:trPr/>
        <w:tc>
          <w:tcPr>
            <w:tcW w:w="1415" w:type="dxa"/>
            <w:tcBorders/>
            <w:tcMar>
              <w:bottom w:w="0" w:type="dxa"/>
            </w:tcMar>
            <w:vAlign w:val="center"/>
          </w:tcPr>
          <w:p>
            <w:pPr>
              <w:pStyle w:val="TableContents"/>
              <w:bidi w:val="0"/>
              <w:spacing w:before="0" w:after="283"/>
              <w:jc w:val="center"/>
              <w:rPr/>
            </w:pPr>
            <w:r>
              <w:rPr/>
              <w:t>(Name)</w:t>
            </w:r>
          </w:p>
        </w:tc>
        <w:tc>
          <w:tcPr>
            <w:tcW w:w="60" w:type="dxa"/>
            <w:tcBorders/>
            <w:tcMar>
              <w:bottom w:w="0" w:type="dxa"/>
            </w:tcMar>
            <w:vAlign w:val="center"/>
          </w:tcPr>
          <w:p>
            <w:pPr>
              <w:pStyle w:val="TableContents"/>
              <w:bidi w:val="0"/>
              <w:spacing w:before="0" w:after="283"/>
              <w:jc w:val="center"/>
              <w:rPr/>
            </w:pPr>
            <w:r>
              <w:rPr/>
              <w:t> </w:t>
            </w:r>
          </w:p>
        </w:tc>
        <w:tc>
          <w:tcPr>
            <w:tcW w:w="1205" w:type="dxa"/>
            <w:tcBorders/>
            <w:tcMar>
              <w:bottom w:w="0" w:type="dxa"/>
            </w:tcMar>
            <w:vAlign w:val="center"/>
          </w:tcPr>
          <w:p>
            <w:pPr>
              <w:pStyle w:val="TableContents"/>
              <w:bidi w:val="0"/>
              <w:spacing w:before="0" w:after="283"/>
              <w:jc w:val="center"/>
              <w:rPr/>
            </w:pPr>
            <w:r>
              <w:rPr/>
              <w:t>(Area Code)</w:t>
            </w:r>
          </w:p>
        </w:tc>
        <w:tc>
          <w:tcPr>
            <w:tcW w:w="60" w:type="dxa"/>
            <w:tcBorders/>
            <w:tcMar>
              <w:bottom w:w="0" w:type="dxa"/>
            </w:tcMar>
            <w:vAlign w:val="center"/>
          </w:tcPr>
          <w:p>
            <w:pPr>
              <w:pStyle w:val="TableContents"/>
              <w:bidi w:val="0"/>
              <w:spacing w:before="0" w:after="283"/>
              <w:jc w:val="center"/>
              <w:rPr/>
            </w:pPr>
            <w:r>
              <w:rPr/>
              <w:t> </w:t>
            </w:r>
          </w:p>
        </w:tc>
        <w:tc>
          <w:tcPr>
            <w:tcW w:w="2030" w:type="dxa"/>
            <w:tcBorders/>
            <w:tcMar>
              <w:bottom w:w="0" w:type="dxa"/>
            </w:tcMar>
            <w:vAlign w:val="center"/>
          </w:tcPr>
          <w:p>
            <w:pPr>
              <w:pStyle w:val="TableContents"/>
              <w:bidi w:val="0"/>
              <w:spacing w:before="0" w:after="283"/>
              <w:jc w:val="center"/>
              <w:rPr/>
            </w:pPr>
            <w:r>
              <w:rPr/>
              <w:t>(Telephone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Is it anticipated that any significant change in results of operations from the corresponding period for the last fiscal year will be reflected by the earnings statements to be included in the subject report or portion thereof?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expects its results of operations for the quarter ended March 31, 2026 to differ significantly from the corresponding period in the prior fiscal year. The anticipated change is primarily attributable to income from discontinued operations, including an approximately </w:t>
      </w:r>
      <w:r>
        <w:rPr>
          <w:rFonts w:ascii="Times New Roman;Times;Serif" w:hAnsi="Times New Roman;Times;Serif"/>
          <w:b/>
          <w:i w:val="false"/>
          <w:caps w:val="false"/>
          <w:smallCaps w:val="false"/>
          <w:sz w:val="20"/>
        </w:rPr>
        <w:t>$2.1 million</w:t>
      </w:r>
      <w:r>
        <w:rPr>
          <w:rFonts w:ascii="Times New Roman;Times;Serif" w:hAnsi="Times New Roman;Times;Serif"/>
          <w:b w:val="false"/>
          <w:i w:val="false"/>
          <w:caps w:val="false"/>
          <w:smallCaps w:val="false"/>
          <w:sz w:val="20"/>
        </w:rPr>
        <w:t> gain recognized in connection with the sale of the Company’s Pennsylvania facility during the quarter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expects to report income from discontinued operations of approximately </w:t>
      </w:r>
      <w:r>
        <w:rPr>
          <w:rFonts w:ascii="Times New Roman;Times;Serif" w:hAnsi="Times New Roman;Times;Serif"/>
          <w:b/>
          <w:i w:val="false"/>
          <w:caps w:val="false"/>
          <w:smallCaps w:val="false"/>
          <w:sz w:val="20"/>
        </w:rPr>
        <w:t>$1.5 million</w:t>
      </w:r>
      <w:r>
        <w:rPr>
          <w:rFonts w:ascii="Times New Roman;Times;Serif" w:hAnsi="Times New Roman;Times;Serif"/>
          <w:b w:val="false"/>
          <w:i w:val="false"/>
          <w:caps w:val="false"/>
          <w:smallCaps w:val="false"/>
          <w:sz w:val="20"/>
        </w:rPr>
        <w:t xml:space="preserve"> for the quarter ended March 31, 2026, compared to a loss from discontinued operations of approximately </w:t>
      </w:r>
      <w:r>
        <w:rPr>
          <w:rFonts w:ascii="Times New Roman;Times;Serif" w:hAnsi="Times New Roman;Times;Serif"/>
          <w:b/>
          <w:i w:val="false"/>
          <w:caps w:val="false"/>
          <w:smallCaps w:val="false"/>
          <w:sz w:val="20"/>
        </w:rPr>
        <w:t>$0.7 million</w:t>
      </w:r>
      <w:r>
        <w:rPr>
          <w:rFonts w:ascii="Times New Roman;Times;Serif" w:hAnsi="Times New Roman;Times;Serif"/>
          <w:b w:val="false"/>
          <w:i w:val="false"/>
          <w:caps w:val="false"/>
          <w:smallCaps w:val="false"/>
          <w:sz w:val="20"/>
        </w:rPr>
        <w:t xml:space="preserve"> for the quarter ended March 31, 2025. As a result, the Company expects consolidated net income of approximately </w:t>
      </w:r>
      <w:r>
        <w:rPr>
          <w:rFonts w:ascii="Times New Roman;Times;Serif" w:hAnsi="Times New Roman;Times;Serif"/>
          <w:b/>
          <w:i w:val="false"/>
          <w:caps w:val="false"/>
          <w:smallCaps w:val="false"/>
          <w:sz w:val="20"/>
        </w:rPr>
        <w:t>$1.8 million</w:t>
      </w:r>
      <w:r>
        <w:rPr>
          <w:rFonts w:ascii="Times New Roman;Times;Serif" w:hAnsi="Times New Roman;Times;Serif"/>
          <w:b w:val="false"/>
          <w:i w:val="false"/>
          <w:caps w:val="false"/>
          <w:smallCaps w:val="false"/>
          <w:sz w:val="20"/>
        </w:rPr>
        <w:t xml:space="preserve"> for the quarter ended March 31, 2026, compared to a consolidated net loss of approximately </w:t>
      </w:r>
      <w:r>
        <w:rPr>
          <w:rFonts w:ascii="Times New Roman;Times;Serif" w:hAnsi="Times New Roman;Times;Serif"/>
          <w:b/>
          <w:i w:val="false"/>
          <w:caps w:val="false"/>
          <w:smallCaps w:val="false"/>
          <w:sz w:val="20"/>
        </w:rPr>
        <w:t>$0.4 million</w:t>
      </w:r>
      <w:r>
        <w:rPr>
          <w:rFonts w:ascii="Times New Roman;Times;Serif" w:hAnsi="Times New Roman;Times;Serif"/>
          <w:b w:val="false"/>
          <w:i w:val="false"/>
          <w:caps w:val="false"/>
          <w:smallCaps w:val="false"/>
          <w:sz w:val="20"/>
        </w:rPr>
        <w:t> for the quarter ended March 31, 2025. Results from continuing operations were not the primary driver of the anticipated year-over-year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amounts are preliminary and remain subject to completion of the Company’s quarterly review procedures and finalization of the 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Innovative Food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Innovative Food Holdings, Inc.</w:t>
      </w:r>
    </w:p>
    <w:p>
      <w:pPr>
        <w:pStyle w:val="TextBody"/>
        <w:bidi w:val="0"/>
        <w:spacing w:before="0" w:after="0"/>
        <w:ind w:left="0" w:right="0" w:hanging="0"/>
        <w:jc w:val="center"/>
        <w:rPr>
          <w:caps w:val="false"/>
          <w:smallCaps w:val="false"/>
        </w:rPr>
      </w:pPr>
      <w:r>
        <w:rPr>
          <w:caps w:val="false"/>
          <w:smallCaps w:val="false"/>
        </w:rPr>
        <w:t> </w:t>
      </w:r>
    </w:p>
    <w:tbl>
      <w:tblPr>
        <w:tblW w:w="4605" w:type="dxa"/>
        <w:jc w:val="left"/>
        <w:tblInd w:w="0" w:type="dxa"/>
        <w:tblLayout w:type="fixed"/>
        <w:tblCellMar>
          <w:top w:w="0" w:type="dxa"/>
          <w:left w:w="0" w:type="dxa"/>
          <w:bottom w:w="0" w:type="dxa"/>
          <w:right w:w="0" w:type="dxa"/>
        </w:tblCellMar>
      </w:tblPr>
      <w:tblGrid>
        <w:gridCol w:w="1940"/>
        <w:gridCol w:w="365"/>
        <w:gridCol w:w="2300"/>
      </w:tblGrid>
      <w:tr>
        <w:trPr/>
        <w:tc>
          <w:tcPr>
            <w:tcW w:w="1940" w:type="dxa"/>
            <w:tcBorders/>
            <w:vAlign w:val="center"/>
          </w:tcPr>
          <w:p>
            <w:pPr>
              <w:pStyle w:val="TableContents"/>
              <w:bidi w:val="0"/>
              <w:spacing w:before="0" w:after="283"/>
              <w:jc w:val="left"/>
              <w:rPr/>
            </w:pPr>
            <w:r>
              <w:rPr/>
              <w:t>Date: May 15, 2026</w:t>
            </w:r>
          </w:p>
        </w:tc>
        <w:tc>
          <w:tcPr>
            <w:tcW w:w="365"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i/>
              </w:rPr>
            </w:pPr>
            <w:r>
              <w:rPr>
                <w:i/>
              </w:rPr>
              <w:t>/s/ Gary Schubert</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Gary Schubert</w:t>
            </w:r>
          </w:p>
        </w:tc>
      </w:tr>
      <w:tr>
        <w:trPr/>
        <w:tc>
          <w:tcPr>
            <w:tcW w:w="19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802</Words>
  <Characters>4265</Characters>
  <CharactersWithSpaces>5071</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