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191770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SECURITIES AND EXCHANGE COMMISSION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141605</wp:posOffset>
            </wp:positionV>
            <wp:extent cx="71323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53"/>
        </w:trPr>
        <w:tc>
          <w:tcPr>
            <w:tcW w:w="3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40" w:type="dxa"/>
            <w:vAlign w:val="bottom"/>
          </w:tcPr>
          <w:p>
            <w:pPr>
              <w:jc w:val="center"/>
              <w:ind w:right="30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9"/>
                <w:szCs w:val="29"/>
                <w:b w:val="1"/>
                <w:bCs w:val="1"/>
                <w:color w:val="auto"/>
                <w:w w:val="98"/>
              </w:rPr>
              <w:t>SCHEDULE 14A INFORMATION</w:t>
            </w:r>
          </w:p>
        </w:tc>
      </w:tr>
      <w:tr>
        <w:trPr>
          <w:trHeight w:val="216"/>
        </w:trPr>
        <w:tc>
          <w:tcPr>
            <w:tcW w:w="3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40" w:type="dxa"/>
            <w:vAlign w:val="bottom"/>
          </w:tcPr>
          <w:p>
            <w:pPr>
              <w:jc w:val="center"/>
              <w:ind w:right="3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Proxy Statement Pursuant to Section 14(a) of the</w:t>
            </w:r>
          </w:p>
        </w:tc>
      </w:tr>
      <w:tr>
        <w:trPr>
          <w:trHeight w:val="216"/>
        </w:trPr>
        <w:tc>
          <w:tcPr>
            <w:tcW w:w="3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40" w:type="dxa"/>
            <w:vAlign w:val="bottom"/>
          </w:tcPr>
          <w:p>
            <w:pPr>
              <w:jc w:val="center"/>
              <w:ind w:right="30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Securities Exchange Act of 1934</w:t>
            </w:r>
          </w:p>
        </w:tc>
      </w:tr>
      <w:tr>
        <w:trPr>
          <w:trHeight w:val="238"/>
        </w:trPr>
        <w:tc>
          <w:tcPr>
            <w:tcW w:w="3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40" w:type="dxa"/>
            <w:vAlign w:val="bottom"/>
          </w:tcPr>
          <w:p>
            <w:pPr>
              <w:jc w:val="center"/>
              <w:ind w:right="30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(Amendment No. )</w:t>
            </w:r>
          </w:p>
        </w:tc>
      </w:tr>
      <w:tr>
        <w:trPr>
          <w:trHeight w:val="216"/>
        </w:trPr>
        <w:tc>
          <w:tcPr>
            <w:tcW w:w="3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80"/>
        </w:trPr>
        <w:tc>
          <w:tcPr>
            <w:tcW w:w="3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Filed by the Registrant</w:t>
            </w:r>
          </w:p>
        </w:tc>
        <w:tc>
          <w:tcPr>
            <w:tcW w:w="8040" w:type="dxa"/>
            <w:vAlign w:val="bottom"/>
          </w:tcPr>
          <w:p>
            <w:pPr>
              <w:ind w:left="744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8"/>
                <w:szCs w:val="18"/>
                <w:color w:val="auto"/>
              </w:rPr>
              <w:t>☒</w:t>
            </w:r>
          </w:p>
        </w:tc>
      </w:tr>
      <w:tr>
        <w:trPr>
          <w:trHeight w:val="432"/>
        </w:trPr>
        <w:tc>
          <w:tcPr>
            <w:tcW w:w="3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Filed by a party other than the Registrant</w:t>
            </w:r>
          </w:p>
        </w:tc>
        <w:tc>
          <w:tcPr>
            <w:tcW w:w="8040" w:type="dxa"/>
            <w:vAlign w:val="bottom"/>
          </w:tcPr>
          <w:p>
            <w:pPr>
              <w:ind w:left="744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MS PGothic" w:cs="MS PGothic" w:eastAsia="MS PGothic" w:hAnsi="MS PGothic"/>
                <w:sz w:val="18"/>
                <w:szCs w:val="18"/>
                <w:color w:val="auto"/>
              </w:rPr>
              <w:t>☐</w:t>
            </w:r>
          </w:p>
        </w:tc>
      </w:tr>
      <w:tr>
        <w:trPr>
          <w:trHeight w:val="404"/>
        </w:trPr>
        <w:tc>
          <w:tcPr>
            <w:tcW w:w="3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Check the appropriate box:</w:t>
            </w:r>
          </w:p>
        </w:tc>
        <w:tc>
          <w:tcPr>
            <w:tcW w:w="8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198" w:lineRule="exact"/>
        <w:rPr>
          <w:sz w:val="24"/>
          <w:szCs w:val="24"/>
          <w:color w:val="auto"/>
        </w:rPr>
      </w:pPr>
    </w:p>
    <w:p>
      <w:pPr>
        <w:ind w:left="300" w:hanging="292"/>
        <w:spacing w:after="0"/>
        <w:tabs>
          <w:tab w:leader="none" w:pos="3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21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00" w:hanging="292"/>
        <w:spacing w:after="0"/>
        <w:tabs>
          <w:tab w:leader="none" w:pos="3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2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00" w:hanging="292"/>
        <w:spacing w:after="0"/>
        <w:tabs>
          <w:tab w:leader="none" w:pos="30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00" w:hanging="292"/>
        <w:spacing w:after="0"/>
        <w:tabs>
          <w:tab w:leader="none" w:pos="30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00" w:hanging="292"/>
        <w:spacing w:after="0"/>
        <w:tabs>
          <w:tab w:leader="none" w:pos="30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§240.14a-12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u w:val="single" w:color="auto"/>
          <w:color w:val="auto"/>
        </w:rPr>
        <w:t>Innovative Food Holdings, Inc.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141605</wp:posOffset>
            </wp:positionV>
            <wp:extent cx="713232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Person(s) Filing Proxy Statement, if other than the Registrant)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14a- 6(i)(1)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154305</wp:posOffset>
            </wp:positionV>
            <wp:extent cx="7132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180340</wp:posOffset>
            </wp:positionV>
            <wp:extent cx="713232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540385</wp:posOffset>
            </wp:positionV>
            <wp:extent cx="713232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40"/>
          </w:cols>
          <w:pgMar w:left="320" w:top="520" w:right="339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363220</wp:posOffset>
            </wp:positionV>
            <wp:extent cx="7132320" cy="923226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232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363220</wp:posOffset>
            </wp:positionV>
            <wp:extent cx="7132320" cy="923226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9232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2026-04-06T05:04:29Z</dcterms:created>
  <dcterms:modified xsi:type="dcterms:W3CDTF">2026-04-06T05:04:29Z</dcterms:modified>
</cp:coreProperties>
</file>